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1600200</wp:posOffset>
                </wp:positionV>
                <wp:extent cx="6286500" cy="8320405"/>
                <wp:effectExtent b="0" l="0" r="0" t="0"/>
                <wp:wrapNone/>
                <wp:docPr id="15"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9" name="Shape 9"/>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1" name="Shape 11"/>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3" name="Shape 13"/>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5" name="Shape 15"/>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1600200</wp:posOffset>
                </wp:positionV>
                <wp:extent cx="6286500" cy="8320405"/>
                <wp:effectExtent b="0" l="0" r="0" t="0"/>
                <wp:wrapNone/>
                <wp:docPr id="15"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96528</wp:posOffset>
            </wp:positionH>
            <wp:positionV relativeFrom="paragraph">
              <wp:posOffset>1698625</wp:posOffset>
            </wp:positionV>
            <wp:extent cx="1647190" cy="1371600"/>
            <wp:effectExtent b="0" l="0" r="0" t="0"/>
            <wp:wrapNone/>
            <wp:docPr descr="Crown Commercial Service" id="16"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ind w:left="-56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for </w:t>
      </w:r>
      <w:r w:rsidDel="00000000" w:rsidR="00000000" w:rsidRPr="00000000">
        <w:rPr>
          <w:rFonts w:ascii="Arial" w:cs="Arial" w:eastAsia="Arial" w:hAnsi="Arial"/>
          <w:b w:val="1"/>
          <w:sz w:val="24"/>
          <w:szCs w:val="24"/>
          <w:highlight w:val="white"/>
          <w:rtl w:val="0"/>
        </w:rPr>
        <w:t xml:space="preserve">RM6353:</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Tyres, Glass and Telematics</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     </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2526" w:hRule="atLeast"/>
          <w:tblHeader w:val="0"/>
        </w:trPr>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shd w:fill="auto" w:val="clear"/>
                </w:tcPr>
                <w:p w:rsidR="00000000" w:rsidDel="00000000" w:rsidP="00000000" w:rsidRDefault="00000000" w:rsidRPr="00000000" w14:paraId="0000000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shd w:fill="auto" w:val="clear"/>
                </w:tcPr>
                <w:p w:rsidR="00000000" w:rsidDel="00000000" w:rsidP="00000000" w:rsidRDefault="00000000" w:rsidRPr="00000000" w14:paraId="0000001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shd w:fill="auto" w:val="clear"/>
                </w:tcPr>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shd w:fill="auto" w:val="clear"/>
                </w:tcPr>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6">
                  <w:pPr>
                    <w:spacing w:after="0" w:line="240" w:lineRule="auto"/>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Lot(s). You cannot deliver in any other Lot under this contract. Any references made to other Lots in this contract do not apply.] </w:t>
            </w:r>
          </w:p>
          <w:p w:rsidR="00000000" w:rsidDel="00000000" w:rsidP="00000000" w:rsidRDefault="00000000" w:rsidRPr="00000000" w14:paraId="0000001B">
            <w:pPr>
              <w:spacing w:after="0" w:line="24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[2025/S 000-003598]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bottom w:color="95b3d7" w:space="0" w:sz="8" w:val="single"/>
            </w:tcBorders>
            <w:tcMar>
              <w:top w:w="0.0" w:type="dxa"/>
              <w:left w:w="100.0" w:type="dxa"/>
              <w:bottom w:w="0.0" w:type="dxa"/>
              <w:right w:w="100.0" w:type="dxa"/>
            </w:tcMar>
          </w:tcPr>
          <w:p w:rsidR="00000000" w:rsidDel="00000000" w:rsidP="00000000" w:rsidRDefault="00000000" w:rsidRPr="00000000" w14:paraId="00000025">
            <w:pPr>
              <w:spacing w:after="0" w:lineRule="auto"/>
              <w:ind w:right="94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8</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July 2025</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0" w:val="nil"/>
              <w:bottom w:color="000000" w:space="0" w:sz="8" w:val="single"/>
            </w:tcBorders>
            <w:tcMar>
              <w:top w:w="0.0" w:type="dxa"/>
              <w:left w:w="100.0" w:type="dxa"/>
              <w:bottom w:w="0.0" w:type="dxa"/>
              <w:right w:w="100.0" w:type="dxa"/>
            </w:tcMar>
          </w:tcPr>
          <w:p w:rsidR="00000000" w:rsidDel="00000000" w:rsidP="00000000" w:rsidRDefault="00000000" w:rsidRPr="00000000" w14:paraId="00000029">
            <w:pPr>
              <w:spacing w:after="0" w:lineRule="auto"/>
              <w:ind w:right="94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7</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July 2028</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837" w:hRule="atLeast"/>
          <w:tblHeader w:val="0"/>
        </w:trPr>
        <w:tc>
          <w:tcPr/>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for Lots 1 - 4</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Lots 2 – 4</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ind w:left="720" w:righ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tc>
      </w:tr>
      <w:tr>
        <w:trPr>
          <w:cantSplit w:val="0"/>
          <w:trHeight w:val="231" w:hRule="atLeast"/>
          <w:tblHeader w:val="0"/>
        </w:trPr>
        <w:tc>
          <w:tcPr/>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Framework Contract’)</w:t>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4B">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4E">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w:t>
            </w:r>
            <w:r w:rsidDel="00000000" w:rsidR="00000000" w:rsidRPr="00000000">
              <w:rPr>
                <w:rFonts w:ascii="Arial" w:cs="Arial" w:eastAsia="Arial" w:hAnsi="Arial"/>
                <w:color w:val="000000"/>
                <w:sz w:val="24"/>
                <w:szCs w:val="24"/>
                <w:highlight w:val="white"/>
                <w:rtl w:val="0"/>
              </w:rPr>
              <w:t xml:space="preserve"> RM6353</w:t>
            </w:r>
            <w:r w:rsidDel="00000000" w:rsidR="00000000" w:rsidRPr="00000000">
              <w:rPr>
                <w:rtl w:val="0"/>
              </w:rPr>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r w:rsidDel="00000000" w:rsidR="00000000" w:rsidRPr="00000000">
              <w:rPr>
                <w:rFonts w:ascii="Arial" w:cs="Arial" w:eastAsia="Arial" w:hAnsi="Arial"/>
                <w:color w:val="000000"/>
                <w:sz w:val="24"/>
                <w:szCs w:val="24"/>
                <w:highlight w:val="white"/>
                <w:rtl w:val="0"/>
              </w:rPr>
              <w:t xml:space="preserve">RM6353</w:t>
            </w:r>
            <w:r w:rsidDel="00000000" w:rsidR="00000000" w:rsidRPr="00000000">
              <w:rPr>
                <w:rtl w:val="0"/>
              </w:rPr>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w:t>
            </w:r>
            <w:r w:rsidDel="00000000" w:rsidR="00000000" w:rsidRPr="00000000">
              <w:rPr>
                <w:rFonts w:ascii="Arial" w:cs="Arial" w:eastAsia="Arial" w:hAnsi="Arial"/>
                <w:color w:val="000000"/>
                <w:sz w:val="24"/>
                <w:szCs w:val="24"/>
                <w:highlight w:val="white"/>
                <w:rtl w:val="0"/>
              </w:rPr>
              <w:t xml:space="preserve">RM6353</w:t>
            </w:r>
            <w:r w:rsidDel="00000000" w:rsidR="00000000" w:rsidRPr="00000000">
              <w:rPr>
                <w:rFonts w:ascii="Arial" w:cs="Arial" w:eastAsia="Arial" w:hAnsi="Arial"/>
                <w:color w:val="000000"/>
                <w:sz w:val="24"/>
                <w:szCs w:val="24"/>
                <w:rtl w:val="0"/>
              </w:rPr>
              <w:t xml:space="preserve"> (in equal order of precedence):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6a (Order Form Template and Call-Off Schedules)</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6b (Order Form Template and Call-Off Schedules) for Lot 4</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6c Simple Order Form for Lot 1-3 </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6d Simple Order Form for Lot 4 including (as applicable) the following template Call-Off Schedules: </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4 (Call-Off Tender)</w:t>
              <w:tab/>
              <w:tab/>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w:t>
            </w: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color w:val="000000"/>
                <w:sz w:val="24"/>
                <w:szCs w:val="24"/>
                <w:highlight w:val="white"/>
                <w:rtl w:val="0"/>
              </w:rPr>
              <w:t xml:space="preserve">Pricing Details)</w:t>
              <w:tab/>
              <w:t xml:space="preserve">           </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w:t>
              <w:tab/>
              <w:tab/>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 </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t xml:space="preserve"> </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12 (Clustering) </w:t>
              <w:tab/>
              <w:tab/>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 </w:t>
              <w:tab/>
              <w:t xml:space="preserve">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17 (MOD Terms) </w:t>
              <w:tab/>
              <w:t xml:space="preserve">                         </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18 (Background Checks)     </w:t>
            </w:r>
          </w:p>
          <w:p w:rsidR="00000000" w:rsidDel="00000000" w:rsidP="00000000" w:rsidRDefault="00000000" w:rsidRPr="00000000" w14:paraId="0000006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19 (Scottish Law)</w:t>
              <w:tab/>
              <w:t xml:space="preserve">                </w:t>
            </w:r>
          </w:p>
          <w:p w:rsidR="00000000" w:rsidDel="00000000" w:rsidP="00000000" w:rsidRDefault="00000000" w:rsidRPr="00000000" w14:paraId="0000006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    </w:t>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21 (Northern Ireland Law)    </w:t>
            </w:r>
          </w:p>
          <w:p w:rsidR="00000000" w:rsidDel="00000000" w:rsidP="00000000" w:rsidRDefault="00000000" w:rsidRPr="00000000" w14:paraId="0000006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23 (HMRC Terms)                </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24 (Corporate Resolution Planning)                    </w:t>
              <w:tab/>
              <w:tab/>
              <w:tab/>
              <w:t xml:space="preserve">          </w:t>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25 (Supplier Furnished Terms Lot 4 only)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RM6353</w:t>
            </w:r>
          </w:p>
          <w:p w:rsidR="00000000" w:rsidDel="00000000" w:rsidP="00000000" w:rsidRDefault="00000000" w:rsidRPr="00000000" w14:paraId="00000082">
            <w:pPr>
              <w:numPr>
                <w:ilvl w:val="0"/>
                <w:numId w:val="4"/>
              </w:numPr>
              <w:pBdr>
                <w:top w:space="0" w:sz="0" w:val="nil"/>
                <w:left w:space="0" w:sz="0" w:val="nil"/>
                <w:bottom w:space="0" w:sz="0" w:val="nil"/>
                <w:right w:space="0" w:sz="0" w:val="nil"/>
                <w:between w:space="0" w:sz="0" w:val="nil"/>
              </w:pBdr>
              <w:spacing w:after="0" w:line="24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RM6353 Framework as long as any part of the Framework Tender that offers a better commercial position for CCS or Buyers (as decided by CCS) take precedence over the documents above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705" w:hRule="atLeast"/>
          <w:tblHeader w:val="0"/>
        </w:trPr>
        <w:tc>
          <w:tcPr>
            <w:vMerge w:val="restart"/>
          </w:tcPr>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 only</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76.00000000000001"/>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9">
            <w:pPr>
              <w:spacing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Special Term 1: In relation to clause 3.1.2 of the Core Terms, the warranty period is amended to 12 months.</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8C">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Where the Buyer has chosen to rent the Goods, clause 3.2 of the Core Terms will not apply to the Call-Off Contract.</w:t>
            </w:r>
          </w:p>
        </w:tc>
      </w:tr>
      <w:tr>
        <w:trPr>
          <w:cantSplit w:val="0"/>
          <w:trHeight w:val="690" w:hRule="atLeast"/>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F">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Clause 3.2.2 of the Core Terms has been amended to "All manufacturer warranties covering the Goods must either, be assignable to the Buyer on request and for free, or the Supplier must make claims under the warranties for the Buyer whenever asked to do so for free."</w:t>
            </w:r>
          </w:p>
        </w:tc>
      </w:tr>
      <w:tr>
        <w:trPr>
          <w:cantSplit w:val="0"/>
          <w:trHeight w:val="690" w:hRule="atLeast"/>
          <w:tblHeader w:val="0"/>
        </w:trPr>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2">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Clause 3.2.3 of the Core Terms has been amended to "The Supplier transfers risk of the Goods on Delivery and ownership or possession of the Goods on payment for those Goods, whichever is earlier."</w:t>
            </w:r>
          </w:p>
          <w:p w:rsidR="00000000" w:rsidDel="00000000" w:rsidP="00000000" w:rsidRDefault="00000000" w:rsidRPr="00000000" w14:paraId="00000093">
            <w:pPr>
              <w:widowControl w:val="0"/>
              <w:spacing w:after="20" w:before="20" w:line="240" w:lineRule="auto"/>
              <w:ind w:left="113" w:firstLine="0"/>
              <w:rPr>
                <w:rFonts w:ascii="Arial" w:cs="Arial" w:eastAsia="Arial" w:hAnsi="Arial"/>
                <w:color w:val="000000"/>
                <w:sz w:val="24"/>
                <w:szCs w:val="24"/>
              </w:rPr>
            </w:pPr>
            <w:r w:rsidDel="00000000" w:rsidR="00000000" w:rsidRPr="00000000">
              <w:rPr>
                <w:rtl w:val="0"/>
              </w:rPr>
            </w:r>
          </w:p>
        </w:tc>
      </w:tr>
      <w:tr>
        <w:trPr>
          <w:cantSplit w:val="0"/>
          <w:trHeight w:val="690" w:hRule="atLeast"/>
          <w:tblHeader w:val="0"/>
        </w:trPr>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6">
            <w:pPr>
              <w:keepNext w:val="1"/>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Clause 3.2.11 has been amended to</w:t>
            </w:r>
          </w:p>
          <w:p w:rsidR="00000000" w:rsidDel="00000000" w:rsidP="00000000" w:rsidRDefault="00000000" w:rsidRPr="00000000" w14:paraId="00000097">
            <w:pPr>
              <w:keepNext w:val="1"/>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trPr>
          <w:cantSplit w:val="0"/>
          <w:trHeight w:val="690" w:hRule="atLeast"/>
          <w:tblHeader w:val="0"/>
        </w:trPr>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A">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 Where the Supplier’s Goods are proprietary and cannot be repaired or replaced by a third party, clause 3.2.12 is amended to:</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at its own cost repair, replace, or substitute any Goods that the Buyer rejects because they don’t conform to Clause 3.”</w:t>
            </w:r>
          </w:p>
        </w:tc>
      </w:tr>
      <w:tr>
        <w:trPr>
          <w:cantSplit w:val="0"/>
          <w:trHeight w:val="690"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E">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 Clause 4.9 of the Core Terms will not apply to the Call Off Contract</w:t>
            </w:r>
          </w:p>
        </w:tc>
      </w:tr>
      <w:tr>
        <w:trPr>
          <w:cantSplit w:val="0"/>
          <w:trHeight w:val="690" w:hRule="atLeast"/>
          <w:tblHeader w:val="0"/>
        </w:trPr>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1">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8: Clause 4.10 of the Core Terms will not apply to the Call Off Contract</w:t>
            </w:r>
          </w:p>
        </w:tc>
      </w:tr>
      <w:tr>
        <w:trPr>
          <w:cantSplit w:val="0"/>
          <w:trHeight w:val="690" w:hRule="atLeast"/>
          <w:tblHeader w:val="0"/>
        </w:trPr>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9: Clause 10.2.2 has been amended to:</w:t>
            </w:r>
          </w:p>
          <w:p w:rsidR="00000000" w:rsidDel="00000000" w:rsidP="00000000" w:rsidRDefault="00000000" w:rsidRPr="00000000" w14:paraId="000000A5">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Buyer has the right to terminate their Call-Off Contract at any time without reason or liability by giving the Supplier not less than 180 days’ written notice within the first 12 months of the Contract Start Date and 90 days’ written notice thereafter.”</w:t>
            </w:r>
          </w:p>
        </w:tc>
      </w:tr>
      <w:tr>
        <w:trPr>
          <w:cantSplit w:val="0"/>
          <w:trHeight w:val="690" w:hRule="atLeast"/>
          <w:tblHeader w:val="0"/>
        </w:trPr>
        <w:tc>
          <w:tcPr>
            <w:vMerge w:val="continue"/>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10: Clause 11.2 of the Core Terms is amended to</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trPr>
          <w:cantSplit w:val="0"/>
          <w:trHeight w:val="690" w:hRule="atLeast"/>
          <w:tblHeader w:val="0"/>
        </w:trPr>
        <w:tc>
          <w:tcPr>
            <w:vMerge w:val="continue"/>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after="20" w:before="20" w:line="240" w:lineRule="auto"/>
              <w:rPr>
                <w:color w:val="000000"/>
                <w:sz w:val="24"/>
                <w:szCs w:val="24"/>
              </w:rPr>
            </w:pPr>
            <w:r w:rsidDel="00000000" w:rsidR="00000000" w:rsidRPr="00000000">
              <w:rPr>
                <w:rFonts w:ascii="Arial" w:cs="Arial" w:eastAsia="Arial" w:hAnsi="Arial"/>
                <w:color w:val="000000"/>
                <w:sz w:val="24"/>
                <w:szCs w:val="24"/>
                <w:rtl w:val="0"/>
              </w:rPr>
              <w:t xml:space="preserve">Special Term 11:  Clause 16.1 of the Core Terms is amended to</w:t>
            </w:r>
            <w:r w:rsidDel="00000000" w:rsidR="00000000" w:rsidRPr="00000000">
              <w:rPr>
                <w:rtl w:val="0"/>
              </w:rPr>
            </w:r>
          </w:p>
          <w:p w:rsidR="00000000" w:rsidDel="00000000" w:rsidP="00000000" w:rsidRDefault="00000000" w:rsidRPr="00000000" w14:paraId="000000AD">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tell the Relevant Authority within two (2) working days if it receives a Request For Information.”</w:t>
            </w:r>
          </w:p>
        </w:tc>
      </w:tr>
      <w:tr>
        <w:trPr>
          <w:cantSplit w:val="0"/>
          <w:trHeight w:val="690" w:hRule="atLeast"/>
          <w:tblHeader w:val="0"/>
        </w:trPr>
        <w:tc>
          <w:tcPr>
            <w:vMerge w:val="restart"/>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0">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12: The Buyer agrees that the Supplier shall always be given the opportunity to remedy a remediable Default prior to a right of termination arising. The Buyer will only exercise its right to terminate for a Default which is either: (i) not remediable; or (ii) if remediable is not corrected within 10 days of receipt of a written request from the Buyer to do so or, if there is one, corrected in accordance with an accepted Rectification Plan.</w:t>
            </w:r>
          </w:p>
        </w:tc>
      </w:tr>
      <w:tr>
        <w:trPr>
          <w:cantSplit w:val="0"/>
          <w:trHeight w:val="690" w:hRule="atLeast"/>
          <w:tblHeader w:val="0"/>
        </w:trPr>
        <w:tc>
          <w:tcPr>
            <w:vMerge w:val="continue"/>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13: The Buyer shall not have the right to terminate where there’s a Change in Control of the Supplier that results in Control of the Supplier remaining with any entity which controls, is controlled by, or is under common control of the Supplier’s parent company.</w:t>
            </w:r>
          </w:p>
        </w:tc>
      </w:tr>
      <w:tr>
        <w:trPr>
          <w:cantSplit w:val="0"/>
          <w:trHeight w:val="690" w:hRule="atLeast"/>
          <w:tblHeader w:val="0"/>
        </w:trPr>
        <w:tc>
          <w:tcPr>
            <w:vMerge w:val="continue"/>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6">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14: The Buyer agrees and consents to the Supplier anonymising and analysing non-personal telematics data collected during the Call-Off Contract for the purposes of enabling Buyers to make use of benchmarking activities only</w:t>
            </w:r>
          </w:p>
        </w:tc>
      </w:tr>
      <w:tr>
        <w:trPr>
          <w:cantSplit w:val="0"/>
          <w:trHeight w:val="690" w:hRule="atLeast"/>
          <w:tblHeader w:val="0"/>
        </w:trPr>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9">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15: Where the Supplier’s Services are proprietary, data cannot be restored on its platform by a third party.</w:t>
            </w:r>
          </w:p>
        </w:tc>
      </w:tr>
      <w:tr>
        <w:trPr>
          <w:cantSplit w:val="0"/>
          <w:trHeight w:val="690" w:hRule="atLeast"/>
          <w:tblHeader w:val="0"/>
        </w:trPr>
        <w:tc>
          <w:tcPr>
            <w:vMerge w:val="continue"/>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BC">
            <w:pPr>
              <w:widowControl w:val="0"/>
              <w:spacing w:after="20" w:before="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16: If the Buyer wishes to conduct an Audit the Buyer agrees: (i) to provide the Supplier with at least 10 Working Days prior written notice; (ii) to provide a list and agenda of all areas to be inspected; and (iii) to make (and ensure that each of its mandated auditors makes) reasonable endeavours to avoid causing any damage, injury or disruption to the Supplier’s premises, equipment, personnel and business while its personnel are on those premises during such an Audit.</w:t>
            </w:r>
            <w:r w:rsidDel="00000000" w:rsidR="00000000" w:rsidRPr="00000000">
              <w:rPr>
                <w:color w:val="000000"/>
                <w:sz w:val="24"/>
                <w:szCs w:val="24"/>
                <w:rtl w:val="0"/>
              </w:rPr>
              <w:t xml:space="preserve">  </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D">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C0">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ffffff"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C3">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shd w:fill="ffffff"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Cyber Essentials Scheme Basic Certificate (or equivalent verified by a technically competent and independent third party. This technically competent and independent third party must be an IASME registered Certification Body). Details in Framework Schedule 9 (Cyber Essentials Scheme)</w:t>
            </w:r>
          </w:p>
        </w:tc>
      </w:tr>
      <w:tr>
        <w:trPr>
          <w:cantSplit w:val="0"/>
          <w:trHeight w:val="731" w:hRule="atLeast"/>
          <w:tblHeader w:val="0"/>
        </w:trPr>
        <w:tc>
          <w:tcPr/>
          <w:p w:rsidR="00000000" w:rsidDel="00000000" w:rsidP="00000000" w:rsidRDefault="00000000" w:rsidRPr="00000000" w14:paraId="000000C7">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9">
            <w:pPr>
              <w:spacing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the Management Charge of all the Charges for the Deliverables invoiced to the Buyer under all Call-Off Contracts:</w:t>
            </w:r>
          </w:p>
          <w:p w:rsidR="00000000" w:rsidDel="00000000" w:rsidP="00000000" w:rsidRDefault="00000000" w:rsidRPr="00000000" w14:paraId="000000CA">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1333" w:hRule="atLeast"/>
          <w:tblHeader w:val="0"/>
        </w:trPr>
        <w:tc>
          <w:tcPr/>
          <w:p w:rsidR="00000000" w:rsidDel="00000000" w:rsidP="00000000" w:rsidRDefault="00000000" w:rsidRPr="00000000" w14:paraId="000000CB">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F">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0">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1">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2">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7">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8">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A">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D">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E">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F">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1">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4">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5">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7">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8">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E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B">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E">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F">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0">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2">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F4">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rtl w:val="0"/>
              </w:rPr>
              <w:t xml:space="preserve">If Applicable - Please see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5">
            <w:pPr>
              <w:numPr>
                <w:ilvl w:val="0"/>
                <w:numId w:val="2"/>
              </w:numPr>
              <w:pBdr>
                <w:top w:space="0" w:sz="0" w:val="nil"/>
                <w:left w:space="0" w:sz="0" w:val="nil"/>
                <w:bottom w:space="0" w:sz="0" w:val="nil"/>
                <w:right w:space="0" w:sz="0" w:val="nil"/>
                <w:between w:space="0" w:sz="0" w:val="nil"/>
              </w:pBdr>
              <w:spacing w:after="0" w:line="240" w:lineRule="auto"/>
              <w:ind w:left="360" w:right="-767"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8">
            <w:pPr>
              <w:rPr>
                <w:rFonts w:ascii="Arial" w:cs="Arial" w:eastAsia="Arial" w:hAnsi="Arial"/>
                <w:b w:val="1"/>
                <w:color w:val="000000"/>
              </w:rPr>
            </w:pPr>
            <w:bookmarkStart w:colFirst="0" w:colLast="0" w:name="_heading=h.v60tph6uy1f0" w:id="1"/>
            <w:bookmarkEnd w:id="1"/>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9">
            <w:pPr>
              <w:rPr>
                <w:rFonts w:ascii="Arial" w:cs="Arial" w:eastAsia="Arial" w:hAnsi="Arial"/>
                <w:b w:val="1"/>
                <w:color w:val="000000"/>
              </w:rPr>
            </w:pPr>
            <w:bookmarkStart w:colFirst="0" w:colLast="0" w:name="_heading=h.v60tph6uy1f0" w:id="1"/>
            <w:bookmarkEnd w:id="1"/>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A">
            <w:pPr>
              <w:rPr>
                <w:rFonts w:ascii="Arial" w:cs="Arial" w:eastAsia="Arial" w:hAnsi="Arial"/>
                <w:b w:val="1"/>
                <w:color w:val="000000"/>
              </w:rPr>
            </w:pPr>
            <w:bookmarkStart w:colFirst="0" w:colLast="0" w:name="_heading=h.v60tph6uy1f0" w:id="1"/>
            <w:bookmarkEnd w:id="1"/>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B">
            <w:pPr>
              <w:rPr>
                <w:rFonts w:ascii="Arial" w:cs="Arial" w:eastAsia="Arial" w:hAnsi="Arial"/>
                <w:color w:val="000000"/>
                <w:sz w:val="24"/>
                <w:szCs w:val="24"/>
              </w:rPr>
            </w:pPr>
            <w:bookmarkStart w:colFirst="0" w:colLast="0" w:name="_heading=h.v60tph6uy1f0" w:id="1"/>
            <w:bookmarkEnd w:id="1"/>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F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rPr>
          <w:rFonts w:ascii="Arial" w:cs="Arial" w:eastAsia="Arial" w:hAnsi="Arial"/>
          <w:sz w:val="24"/>
          <w:szCs w:val="24"/>
        </w:rPr>
      </w:pPr>
      <w:r w:rsidDel="00000000" w:rsidR="00000000" w:rsidRPr="00000000">
        <w:rPr>
          <w:rtl w:val="0"/>
        </w:rPr>
      </w:r>
    </w:p>
    <w:tbl>
      <w:tblPr>
        <w:tblStyle w:val="Table3"/>
        <w:tblW w:w="10485.0" w:type="dxa"/>
        <w:jc w:val="left"/>
        <w:tblInd w:w="-735.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2265"/>
        <w:gridCol w:w="3000"/>
        <w:gridCol w:w="1335"/>
        <w:gridCol w:w="3885"/>
        <w:tblGridChange w:id="0">
          <w:tblGrid>
            <w:gridCol w:w="2265"/>
            <w:gridCol w:w="3000"/>
            <w:gridCol w:w="1335"/>
            <w:gridCol w:w="3885"/>
          </w:tblGrid>
        </w:tblGridChange>
      </w:tblGrid>
      <w:tr>
        <w:trPr>
          <w:cantSplit w:val="0"/>
          <w:trHeight w:val="635" w:hRule="atLeast"/>
          <w:tblHeader w:val="0"/>
        </w:trPr>
        <w:tc>
          <w:tcPr>
            <w:gridSpan w:val="2"/>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B">
            <w:pPr>
              <w:keepNext w:val="1"/>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D">
            <w:pPr>
              <w:keepNext w:val="1"/>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bookmarkStart w:colFirst="0" w:colLast="0" w:name="_heading=h.ivlwapwow0wa" w:id="2"/>
            <w:bookmarkEnd w:id="2"/>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863" w:hRule="atLeast"/>
          <w:tblHeader w:val="0"/>
        </w:trPr>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3">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5">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bl>
    <w:p w:rsidR="00000000" w:rsidDel="00000000" w:rsidP="00000000" w:rsidRDefault="00000000" w:rsidRPr="00000000" w14:paraId="00000116">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RM6353 Tyres, Glass and Telematics</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b"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c" w:customStyle="1">
    <w:basedOn w:val="TableNormal"/>
    <w:rPr>
      <w:color w:val="366091"/>
    </w:rPr>
    <w:tblPr>
      <w:tblStyleRowBandSize w:val="1"/>
      <w:tblStyleColBandSize w:val="1"/>
    </w:tblPr>
  </w:style>
  <w:style w:type="table" w:styleId="ad"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nk8/4Zh5JHC9M5pyDo4na1kXHA==">CgMxLjAyCGguZ2pkZ3hzMg5oLnY2MHRwaDZ1eTFmMDIOaC52NjB0cGg2dXkxZjAyDmgudjYwdHBoNnV5MWYwMg5oLnY2MHRwaDZ1eTFmMDIOaC5pdmx3YXB3b3cwd2E4AHIhMUxuYkRpRHdjcEp2dDVBbEVxeVNNSnJuTFdUd1BMQkVX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2025-06-13T13:20:00Z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